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 xml:space="preserve">ISO </w:t>
      </w:r>
      <w:r w:rsidR="00DA6FAF">
        <w:rPr>
          <w:rFonts w:ascii="Arial" w:eastAsia="Times New Roman" w:hAnsi="Arial" w:cs="Arial"/>
          <w:b/>
          <w:sz w:val="24"/>
          <w:szCs w:val="24"/>
        </w:rPr>
        <w:t>22516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DA6FAF" w:rsidRPr="00DA6FAF">
        <w:rPr>
          <w:rFonts w:ascii="Arial" w:hAnsi="Arial" w:cs="Arial"/>
          <w:b/>
          <w:sz w:val="24"/>
          <w:szCs w:val="24"/>
        </w:rPr>
        <w:t>Краски и лаки. Практическое определение содержания нелетучих и летучих веществ во время нанесения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B57C70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DA6F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C60D76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C60D76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C60D76" w:rsidRPr="00C60D76">
        <w:rPr>
          <w:rFonts w:ascii="Arial" w:hAnsi="Arial" w:cs="Arial"/>
          <w:sz w:val="24"/>
          <w:szCs w:val="24"/>
        </w:rPr>
        <w:t>(</w:t>
      </w:r>
      <w:r w:rsidRPr="00C60D76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C60D76" w:rsidRPr="00C60D76">
        <w:rPr>
          <w:rFonts w:ascii="Arial" w:hAnsi="Arial" w:cs="Arial"/>
          <w:sz w:val="24"/>
          <w:szCs w:val="24"/>
        </w:rPr>
        <w:t>)</w:t>
      </w:r>
      <w:r w:rsidRPr="00C60D76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целях реализации требований </w:t>
      </w:r>
      <w:r w:rsidR="00DA6FAF" w:rsidRPr="00DA6FAF">
        <w:rPr>
          <w:rFonts w:ascii="Arial" w:hAnsi="Arial" w:cs="Arial"/>
          <w:sz w:val="24"/>
          <w:szCs w:val="24"/>
        </w:rPr>
        <w:t>проекта ТР ЕАЭС «О безопасности лакокрасочных материалов»</w:t>
      </w:r>
      <w:r w:rsidR="00DA6FAF">
        <w:rPr>
          <w:rFonts w:ascii="Arial" w:hAnsi="Arial" w:cs="Arial"/>
          <w:sz w:val="24"/>
          <w:szCs w:val="24"/>
        </w:rPr>
        <w:t xml:space="preserve"> </w:t>
      </w:r>
      <w:r w:rsidR="009A3C4D">
        <w:rPr>
          <w:rFonts w:ascii="Arial" w:hAnsi="Arial" w:cs="Arial"/>
          <w:sz w:val="24"/>
          <w:szCs w:val="24"/>
        </w:rPr>
        <w:t>(</w:t>
      </w:r>
      <w:r w:rsidR="009A3C4D" w:rsidRPr="00DA6FAF">
        <w:rPr>
          <w:rFonts w:ascii="Arial" w:hAnsi="Arial" w:cs="Arial"/>
          <w:sz w:val="24"/>
          <w:szCs w:val="24"/>
        </w:rPr>
        <w:t>Стат</w:t>
      </w:r>
      <w:r w:rsidR="009A3C4D">
        <w:rPr>
          <w:rFonts w:ascii="Arial" w:hAnsi="Arial" w:cs="Arial"/>
          <w:sz w:val="24"/>
          <w:szCs w:val="24"/>
        </w:rPr>
        <w:t>ья</w:t>
      </w:r>
      <w:r w:rsidR="009A3C4D" w:rsidRPr="00DA6FAF">
        <w:rPr>
          <w:rFonts w:ascii="Arial" w:hAnsi="Arial" w:cs="Arial"/>
          <w:sz w:val="24"/>
          <w:szCs w:val="24"/>
        </w:rPr>
        <w:t xml:space="preserve"> 5</w:t>
      </w:r>
      <w:r w:rsidR="009A3C4D">
        <w:rPr>
          <w:rFonts w:ascii="Arial" w:hAnsi="Arial" w:cs="Arial"/>
          <w:sz w:val="24"/>
          <w:szCs w:val="24"/>
        </w:rPr>
        <w:t>,</w:t>
      </w:r>
      <w:r w:rsidR="009A3C4D" w:rsidRPr="00DA6FAF">
        <w:rPr>
          <w:rFonts w:ascii="Arial" w:hAnsi="Arial" w:cs="Arial"/>
          <w:sz w:val="24"/>
          <w:szCs w:val="24"/>
        </w:rPr>
        <w:t xml:space="preserve"> пункт 14</w:t>
      </w:r>
      <w:r w:rsidR="009A3C4D">
        <w:rPr>
          <w:rFonts w:ascii="Arial" w:hAnsi="Arial" w:cs="Arial"/>
          <w:sz w:val="24"/>
          <w:szCs w:val="24"/>
        </w:rPr>
        <w:t xml:space="preserve">, и </w:t>
      </w:r>
      <w:r w:rsidR="009A3C4D" w:rsidRPr="00DA6FAF">
        <w:rPr>
          <w:rFonts w:ascii="Arial" w:hAnsi="Arial" w:cs="Arial"/>
          <w:sz w:val="24"/>
          <w:szCs w:val="24"/>
        </w:rPr>
        <w:t>приложени</w:t>
      </w:r>
      <w:r w:rsidR="009A3C4D">
        <w:rPr>
          <w:rFonts w:ascii="Arial" w:hAnsi="Arial" w:cs="Arial"/>
          <w:sz w:val="24"/>
          <w:szCs w:val="24"/>
        </w:rPr>
        <w:t>я</w:t>
      </w:r>
      <w:r w:rsidR="009A3C4D" w:rsidRPr="00DA6FAF">
        <w:rPr>
          <w:rFonts w:ascii="Arial" w:hAnsi="Arial" w:cs="Arial"/>
          <w:sz w:val="24"/>
          <w:szCs w:val="24"/>
        </w:rPr>
        <w:t xml:space="preserve"> 3</w:t>
      </w:r>
      <w:r w:rsidR="009A3C4D">
        <w:rPr>
          <w:rFonts w:ascii="Arial" w:hAnsi="Arial" w:cs="Arial"/>
          <w:sz w:val="24"/>
          <w:szCs w:val="24"/>
        </w:rPr>
        <w:t xml:space="preserve">, </w:t>
      </w:r>
      <w:r w:rsidR="009A3C4D" w:rsidRPr="00DA6FAF">
        <w:rPr>
          <w:rFonts w:ascii="Arial" w:hAnsi="Arial" w:cs="Arial"/>
          <w:sz w:val="24"/>
          <w:szCs w:val="24"/>
        </w:rPr>
        <w:t>таблиц</w:t>
      </w:r>
      <w:r w:rsidR="00C60D76">
        <w:rPr>
          <w:rFonts w:ascii="Arial" w:hAnsi="Arial" w:cs="Arial"/>
          <w:sz w:val="24"/>
          <w:szCs w:val="24"/>
        </w:rPr>
        <w:t>а</w:t>
      </w:r>
      <w:r w:rsidR="009A3C4D" w:rsidRPr="00DA6FAF">
        <w:rPr>
          <w:rFonts w:ascii="Arial" w:hAnsi="Arial" w:cs="Arial"/>
          <w:sz w:val="24"/>
          <w:szCs w:val="24"/>
        </w:rPr>
        <w:t xml:space="preserve"> 1</w:t>
      </w:r>
      <w:r w:rsidR="009A3C4D">
        <w:rPr>
          <w:rFonts w:ascii="Arial" w:hAnsi="Arial" w:cs="Arial"/>
          <w:sz w:val="24"/>
          <w:szCs w:val="24"/>
        </w:rPr>
        <w:t>).</w:t>
      </w:r>
      <w:r w:rsidR="00DA6FAF">
        <w:rPr>
          <w:rFonts w:ascii="Arial" w:hAnsi="Arial" w:cs="Arial"/>
          <w:sz w:val="24"/>
          <w:szCs w:val="24"/>
        </w:rPr>
        <w:t xml:space="preserve">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B57C70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A6FAF" w:rsidRDefault="00DA6FAF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6FAF">
        <w:rPr>
          <w:rFonts w:ascii="Arial" w:hAnsi="Arial" w:cs="Arial"/>
          <w:sz w:val="24"/>
          <w:szCs w:val="24"/>
        </w:rPr>
        <w:t xml:space="preserve">При нанесении покрытий, огромное значение имеет размер или распределение по размеру образующихся капель. Изменяя параметры нанесения, такие как энергия распыления и скорость потока материала покрытия, а также технические свойства, такие как состав растворителя и характеристики и реологические показатели потока, можно контролировать качество результата нанесения. Кроме того, в процессе нанесения на результат сильно влияют климатические условия (например, температура, относительная влажность и скорость падения воздуха). Результат влажного или сухого </w:t>
      </w:r>
      <w:r w:rsidR="000B7592" w:rsidRPr="00DA6FAF">
        <w:rPr>
          <w:rFonts w:ascii="Arial" w:hAnsi="Arial" w:cs="Arial"/>
          <w:sz w:val="24"/>
          <w:szCs w:val="24"/>
        </w:rPr>
        <w:t>нанесения,</w:t>
      </w:r>
      <w:r w:rsidRPr="00DA6FAF">
        <w:rPr>
          <w:rFonts w:ascii="Arial" w:hAnsi="Arial" w:cs="Arial"/>
          <w:sz w:val="24"/>
          <w:szCs w:val="24"/>
        </w:rPr>
        <w:t xml:space="preserve"> </w:t>
      </w:r>
      <w:r w:rsidR="000B7592" w:rsidRPr="00DA6FAF">
        <w:rPr>
          <w:rFonts w:ascii="Arial" w:hAnsi="Arial" w:cs="Arial"/>
          <w:sz w:val="24"/>
          <w:szCs w:val="24"/>
        </w:rPr>
        <w:t>возможно,</w:t>
      </w:r>
      <w:r w:rsidRPr="00DA6FAF">
        <w:rPr>
          <w:rFonts w:ascii="Arial" w:hAnsi="Arial" w:cs="Arial"/>
          <w:sz w:val="24"/>
          <w:szCs w:val="24"/>
        </w:rPr>
        <w:t xml:space="preserve"> охарактеризовать путем определения содержания нелетучего вещества после нанесения, или после промежуточной или окончательной сушки, и, следовательно, косвенно сослаться на распределение капель по размерам и выброс растворителя во время нанесения. С помощью рассчитанного содержания летучих веществ, перед нанесением дополнительного покрытия, определяют достаточную промежуточную сушку соответствующего покрытия.</w:t>
      </w:r>
    </w:p>
    <w:p w:rsidR="000B7592" w:rsidRPr="000B7592" w:rsidRDefault="002B68B6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="000B7592" w:rsidRPr="000B7592">
        <w:rPr>
          <w:rFonts w:ascii="Arial" w:hAnsi="Arial" w:cs="Arial"/>
          <w:sz w:val="24"/>
          <w:szCs w:val="24"/>
        </w:rPr>
        <w:t xml:space="preserve"> устанавливает метод испытаний для определения нелетучих веществ покрытий непосредственно после нанесения или после промежуточной или окончательной сушки. На практике определение содержания летучих веще</w:t>
      </w:r>
      <w:proofErr w:type="gramStart"/>
      <w:r w:rsidR="000B7592" w:rsidRPr="000B7592">
        <w:rPr>
          <w:rFonts w:ascii="Arial" w:hAnsi="Arial" w:cs="Arial"/>
          <w:sz w:val="24"/>
          <w:szCs w:val="24"/>
        </w:rPr>
        <w:t>ств пр</w:t>
      </w:r>
      <w:proofErr w:type="gramEnd"/>
      <w:r w:rsidR="000B7592" w:rsidRPr="000B7592">
        <w:rPr>
          <w:rFonts w:ascii="Arial" w:hAnsi="Arial" w:cs="Arial"/>
          <w:sz w:val="24"/>
          <w:szCs w:val="24"/>
        </w:rPr>
        <w:t>именяется, в частности, в отношении водорастворимых покрытий, которые повторно покрываются дополнительным покрытием.</w:t>
      </w:r>
    </w:p>
    <w:p w:rsidR="000B7592" w:rsidRPr="000B7592" w:rsidRDefault="000B7592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592">
        <w:rPr>
          <w:rFonts w:ascii="Arial" w:hAnsi="Arial" w:cs="Arial"/>
          <w:sz w:val="24"/>
          <w:szCs w:val="24"/>
        </w:rPr>
        <w:t>Кроме того, настоящий метод можно использовать для сравнения эффективности различных методов нанесения покрытия и сушки.</w:t>
      </w:r>
    </w:p>
    <w:p w:rsidR="000B7592" w:rsidRDefault="009D1DA2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термины и определения, </w:t>
      </w:r>
      <w:proofErr w:type="gramStart"/>
      <w:r w:rsidR="000B7592">
        <w:rPr>
          <w:rFonts w:ascii="Arial" w:hAnsi="Arial" w:cs="Arial"/>
          <w:sz w:val="24"/>
          <w:szCs w:val="24"/>
        </w:rPr>
        <w:t>приведен</w:t>
      </w:r>
      <w:proofErr w:type="gramEnd"/>
      <w:r w:rsidR="000B7592">
        <w:rPr>
          <w:rFonts w:ascii="Arial" w:hAnsi="Arial" w:cs="Arial"/>
          <w:sz w:val="24"/>
          <w:szCs w:val="24"/>
        </w:rPr>
        <w:t xml:space="preserve"> </w:t>
      </w:r>
      <w:r w:rsidR="000B7592" w:rsidRPr="000B7592">
        <w:rPr>
          <w:rFonts w:ascii="Arial" w:hAnsi="Arial" w:cs="Arial"/>
          <w:sz w:val="24"/>
          <w:szCs w:val="24"/>
        </w:rPr>
        <w:t>сущность метода</w:t>
      </w:r>
      <w:r w:rsidR="000B7592">
        <w:rPr>
          <w:rFonts w:ascii="Arial" w:hAnsi="Arial" w:cs="Arial"/>
          <w:sz w:val="24"/>
          <w:szCs w:val="24"/>
        </w:rPr>
        <w:t xml:space="preserve"> испытаний</w:t>
      </w:r>
      <w:r>
        <w:rPr>
          <w:rFonts w:ascii="Arial" w:hAnsi="Arial" w:cs="Arial"/>
          <w:sz w:val="24"/>
          <w:szCs w:val="24"/>
        </w:rPr>
        <w:t xml:space="preserve">. </w:t>
      </w:r>
      <w:r w:rsidR="000B7592" w:rsidRPr="000B7592">
        <w:rPr>
          <w:rFonts w:ascii="Arial" w:hAnsi="Arial" w:cs="Arial"/>
          <w:sz w:val="24"/>
          <w:szCs w:val="24"/>
        </w:rPr>
        <w:t>Установл</w:t>
      </w:r>
      <w:r w:rsidR="000B7592">
        <w:rPr>
          <w:rFonts w:ascii="Arial" w:hAnsi="Arial" w:cs="Arial"/>
          <w:sz w:val="24"/>
          <w:szCs w:val="24"/>
        </w:rPr>
        <w:t>ен</w:t>
      </w:r>
      <w:r w:rsidR="009A3C4D">
        <w:rPr>
          <w:rFonts w:ascii="Arial" w:hAnsi="Arial" w:cs="Arial"/>
          <w:sz w:val="24"/>
          <w:szCs w:val="24"/>
        </w:rPr>
        <w:t>ы</w:t>
      </w:r>
      <w:r w:rsidR="000B7592" w:rsidRPr="000B7592">
        <w:rPr>
          <w:rFonts w:ascii="Arial" w:hAnsi="Arial" w:cs="Arial"/>
          <w:sz w:val="24"/>
          <w:szCs w:val="24"/>
        </w:rPr>
        <w:t xml:space="preserve"> </w:t>
      </w:r>
      <w:r w:rsidR="009A3C4D">
        <w:rPr>
          <w:rFonts w:ascii="Arial" w:hAnsi="Arial" w:cs="Arial"/>
          <w:sz w:val="24"/>
          <w:szCs w:val="24"/>
        </w:rPr>
        <w:t>два</w:t>
      </w:r>
      <w:r w:rsidR="000B7592">
        <w:rPr>
          <w:rFonts w:ascii="Arial" w:hAnsi="Arial" w:cs="Arial"/>
          <w:sz w:val="24"/>
          <w:szCs w:val="24"/>
        </w:rPr>
        <w:t xml:space="preserve"> </w:t>
      </w:r>
      <w:r w:rsidR="000B7592" w:rsidRPr="000B7592">
        <w:rPr>
          <w:rFonts w:ascii="Arial" w:hAnsi="Arial" w:cs="Arial"/>
          <w:sz w:val="24"/>
          <w:szCs w:val="24"/>
        </w:rPr>
        <w:t>метод</w:t>
      </w:r>
      <w:r w:rsidR="000B7592">
        <w:rPr>
          <w:rFonts w:ascii="Arial" w:hAnsi="Arial" w:cs="Arial"/>
          <w:sz w:val="24"/>
          <w:szCs w:val="24"/>
        </w:rPr>
        <w:t>а</w:t>
      </w:r>
      <w:r w:rsidR="000B7592" w:rsidRPr="000B7592">
        <w:rPr>
          <w:rFonts w:ascii="Arial" w:hAnsi="Arial" w:cs="Arial"/>
          <w:sz w:val="24"/>
          <w:szCs w:val="24"/>
        </w:rPr>
        <w:t xml:space="preserve"> испытаний для определения нелетучих веществ покрытий</w:t>
      </w:r>
      <w:r w:rsidR="000B7592">
        <w:rPr>
          <w:rFonts w:ascii="Arial" w:hAnsi="Arial" w:cs="Arial"/>
          <w:sz w:val="24"/>
          <w:szCs w:val="24"/>
        </w:rPr>
        <w:t xml:space="preserve">: </w:t>
      </w:r>
      <w:r w:rsidR="000B7592" w:rsidRPr="000B7592">
        <w:rPr>
          <w:rFonts w:ascii="Arial" w:hAnsi="Arial" w:cs="Arial"/>
          <w:sz w:val="24"/>
          <w:szCs w:val="24"/>
        </w:rPr>
        <w:t>Метод A</w:t>
      </w:r>
      <w:r w:rsidR="000B7592">
        <w:rPr>
          <w:rFonts w:ascii="Arial" w:hAnsi="Arial" w:cs="Arial"/>
          <w:sz w:val="24"/>
          <w:szCs w:val="24"/>
        </w:rPr>
        <w:t xml:space="preserve"> «</w:t>
      </w:r>
      <w:r w:rsidR="000B7592" w:rsidRPr="000B7592">
        <w:rPr>
          <w:rFonts w:ascii="Arial" w:hAnsi="Arial" w:cs="Arial"/>
          <w:sz w:val="24"/>
          <w:szCs w:val="24"/>
        </w:rPr>
        <w:t>Определение с помощью алюминиевой фольги</w:t>
      </w:r>
      <w:r w:rsidR="000B7592">
        <w:rPr>
          <w:rFonts w:ascii="Arial" w:hAnsi="Arial" w:cs="Arial"/>
          <w:sz w:val="24"/>
          <w:szCs w:val="24"/>
        </w:rPr>
        <w:t xml:space="preserve">» и </w:t>
      </w:r>
      <w:r w:rsidR="000B7592" w:rsidRPr="000B7592">
        <w:rPr>
          <w:rFonts w:ascii="Arial" w:hAnsi="Arial" w:cs="Arial"/>
          <w:sz w:val="24"/>
          <w:szCs w:val="24"/>
        </w:rPr>
        <w:t>Метод B</w:t>
      </w:r>
      <w:r w:rsidR="000B7592">
        <w:rPr>
          <w:rFonts w:ascii="Arial" w:hAnsi="Arial" w:cs="Arial"/>
          <w:sz w:val="24"/>
          <w:szCs w:val="24"/>
        </w:rPr>
        <w:t xml:space="preserve"> «</w:t>
      </w:r>
      <w:r w:rsidR="000B7592" w:rsidRPr="000B7592">
        <w:rPr>
          <w:rFonts w:ascii="Arial" w:hAnsi="Arial" w:cs="Arial"/>
          <w:sz w:val="24"/>
          <w:szCs w:val="24"/>
        </w:rPr>
        <w:t>Определение с помощью контрольных пластинок</w:t>
      </w:r>
      <w:r w:rsidR="000B7592">
        <w:rPr>
          <w:rFonts w:ascii="Arial" w:hAnsi="Arial" w:cs="Arial"/>
          <w:sz w:val="24"/>
          <w:szCs w:val="24"/>
        </w:rPr>
        <w:t>».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D304C" w:rsidRPr="009D1DA2" w:rsidRDefault="00BD304C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9920EA" w:rsidRDefault="00D869A5" w:rsidP="009920EA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B57C70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9920EA" w:rsidRPr="005331CA" w:rsidRDefault="009920EA" w:rsidP="009920E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>
        <w:rPr>
          <w:rFonts w:ascii="Arial" w:hAnsi="Arial" w:cs="Arial"/>
          <w:sz w:val="24"/>
          <w:szCs w:val="24"/>
        </w:rPr>
        <w:t xml:space="preserve">раздела 14 статьи 5 «Требования безопасности» проекта технического </w:t>
      </w:r>
      <w:r>
        <w:rPr>
          <w:rFonts w:ascii="Arial" w:hAnsi="Arial" w:cs="Arial"/>
          <w:sz w:val="24"/>
          <w:szCs w:val="24"/>
        </w:rPr>
        <w:lastRenderedPageBreak/>
        <w:t>регламента Евразийского экономического союза «О безопасности лакокрасочных материалов»</w:t>
      </w:r>
      <w:r w:rsidRPr="005331CA">
        <w:rPr>
          <w:rFonts w:ascii="Arial" w:hAnsi="Arial" w:cs="Arial"/>
          <w:sz w:val="24"/>
          <w:szCs w:val="24"/>
        </w:rPr>
        <w:t>.</w:t>
      </w:r>
    </w:p>
    <w:p w:rsidR="00BF2CF1" w:rsidRDefault="009920EA" w:rsidP="009920E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9920EA" w:rsidRPr="00BD304C" w:rsidRDefault="009920EA" w:rsidP="009920EA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B57C70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6075" w:rsidRDefault="006C6075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075">
        <w:rPr>
          <w:rFonts w:ascii="Arial" w:hAnsi="Arial" w:cs="Arial"/>
          <w:sz w:val="24"/>
          <w:szCs w:val="24"/>
        </w:rPr>
        <w:t xml:space="preserve">ГОСТ 31939-2012 (ISO 3251:2008) </w:t>
      </w:r>
      <w:r>
        <w:rPr>
          <w:rFonts w:ascii="Arial" w:hAnsi="Arial" w:cs="Arial"/>
          <w:sz w:val="24"/>
          <w:szCs w:val="24"/>
        </w:rPr>
        <w:t>«</w:t>
      </w:r>
      <w:r w:rsidRPr="006C6075">
        <w:rPr>
          <w:rFonts w:ascii="Arial" w:hAnsi="Arial" w:cs="Arial"/>
          <w:sz w:val="24"/>
          <w:szCs w:val="24"/>
        </w:rPr>
        <w:t>Материалы лакокрасочные. Определение массовой доли нелетучих веществ</w:t>
      </w:r>
      <w:r>
        <w:rPr>
          <w:rFonts w:ascii="Arial" w:hAnsi="Arial" w:cs="Arial"/>
          <w:sz w:val="24"/>
          <w:szCs w:val="24"/>
        </w:rPr>
        <w:t>»;</w:t>
      </w:r>
    </w:p>
    <w:p w:rsidR="006C6075" w:rsidRDefault="006C6075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17537-72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определения массовой доли летучих и нелетучих, твердых и пленкообразующих веществ</w:t>
      </w:r>
      <w:r>
        <w:rPr>
          <w:rFonts w:ascii="Arial" w:hAnsi="Arial" w:cs="Arial"/>
          <w:sz w:val="24"/>
          <w:szCs w:val="24"/>
        </w:rPr>
        <w:t>»;</w:t>
      </w:r>
    </w:p>
    <w:p w:rsidR="006C6075" w:rsidRDefault="006C6075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075">
        <w:rPr>
          <w:rFonts w:ascii="Arial" w:hAnsi="Arial" w:cs="Arial"/>
          <w:sz w:val="24"/>
          <w:szCs w:val="24"/>
        </w:rPr>
        <w:t xml:space="preserve">ГОСТ 31991.1-2012 (ISO 11890-1:2007) </w:t>
      </w:r>
      <w:r>
        <w:rPr>
          <w:rFonts w:ascii="Arial" w:hAnsi="Arial" w:cs="Arial"/>
          <w:sz w:val="24"/>
          <w:szCs w:val="24"/>
        </w:rPr>
        <w:t>«</w:t>
      </w:r>
      <w:r w:rsidRPr="006C6075">
        <w:rPr>
          <w:rFonts w:ascii="Arial" w:hAnsi="Arial" w:cs="Arial"/>
          <w:sz w:val="24"/>
          <w:szCs w:val="24"/>
        </w:rPr>
        <w:t>Материалы лакокрасочные. Определение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6C6075">
        <w:rPr>
          <w:rFonts w:ascii="Arial" w:hAnsi="Arial" w:cs="Arial"/>
          <w:sz w:val="24"/>
          <w:szCs w:val="24"/>
        </w:rPr>
        <w:t>содержания летучих органических соединений</w:t>
      </w:r>
      <w:r>
        <w:rPr>
          <w:rFonts w:ascii="Arial" w:hAnsi="Arial" w:cs="Arial"/>
          <w:sz w:val="24"/>
          <w:szCs w:val="24"/>
        </w:rPr>
        <w:t xml:space="preserve"> </w:t>
      </w:r>
      <w:r w:rsidRPr="006C6075">
        <w:rPr>
          <w:rFonts w:ascii="Arial" w:hAnsi="Arial" w:cs="Arial"/>
          <w:sz w:val="24"/>
          <w:szCs w:val="24"/>
        </w:rPr>
        <w:t>(ЛОС). Разностный метод</w:t>
      </w:r>
      <w:r>
        <w:rPr>
          <w:rFonts w:ascii="Arial" w:hAnsi="Arial" w:cs="Arial"/>
          <w:sz w:val="24"/>
          <w:szCs w:val="24"/>
        </w:rPr>
        <w:t>»;</w:t>
      </w:r>
    </w:p>
    <w:p w:rsidR="006C6075" w:rsidRDefault="000A2854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6075" w:rsidRPr="006C6075">
        <w:rPr>
          <w:rFonts w:ascii="Arial" w:hAnsi="Arial" w:cs="Arial"/>
          <w:sz w:val="24"/>
          <w:szCs w:val="24"/>
        </w:rPr>
        <w:t xml:space="preserve">ГОСТ 31991.2-2012 (ISO 11890-2:2006) </w:t>
      </w:r>
      <w:r w:rsidR="006C6075">
        <w:rPr>
          <w:rFonts w:ascii="Arial" w:hAnsi="Arial" w:cs="Arial"/>
          <w:sz w:val="24"/>
          <w:szCs w:val="24"/>
        </w:rPr>
        <w:t>«</w:t>
      </w:r>
      <w:r w:rsidR="006C6075" w:rsidRPr="006C6075">
        <w:rPr>
          <w:rFonts w:ascii="Arial" w:hAnsi="Arial" w:cs="Arial"/>
          <w:sz w:val="24"/>
          <w:szCs w:val="24"/>
        </w:rPr>
        <w:t>Материалы лакокрасочные. Определение</w:t>
      </w:r>
      <w:r w:rsidR="006C6075">
        <w:rPr>
          <w:rFonts w:ascii="Arial" w:hAnsi="Arial" w:cs="Arial"/>
          <w:sz w:val="24"/>
          <w:szCs w:val="24"/>
        </w:rPr>
        <w:t xml:space="preserve"> </w:t>
      </w:r>
      <w:r w:rsidR="006C6075" w:rsidRPr="006C6075">
        <w:rPr>
          <w:rFonts w:ascii="Arial" w:hAnsi="Arial" w:cs="Arial"/>
          <w:sz w:val="24"/>
          <w:szCs w:val="24"/>
        </w:rPr>
        <w:t>содержания летучих органических соединений</w:t>
      </w:r>
      <w:r w:rsidR="006C6075">
        <w:rPr>
          <w:rFonts w:ascii="Arial" w:hAnsi="Arial" w:cs="Arial"/>
          <w:sz w:val="24"/>
          <w:szCs w:val="24"/>
        </w:rPr>
        <w:t xml:space="preserve"> </w:t>
      </w:r>
      <w:r w:rsidR="006C6075" w:rsidRPr="006C6075">
        <w:rPr>
          <w:rFonts w:ascii="Arial" w:hAnsi="Arial" w:cs="Arial"/>
          <w:sz w:val="24"/>
          <w:szCs w:val="24"/>
        </w:rPr>
        <w:t>(ЛОС). Газохроматографический метод</w:t>
      </w:r>
      <w:r w:rsidR="006C6075">
        <w:rPr>
          <w:rFonts w:ascii="Arial" w:hAnsi="Arial" w:cs="Arial"/>
          <w:sz w:val="24"/>
          <w:szCs w:val="24"/>
        </w:rPr>
        <w:t>»;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27037-86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 определения устойчивости к воздействию переменных температур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29317-92 (ИСО 3270-84)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>
        <w:rPr>
          <w:rFonts w:ascii="Arial" w:hAnsi="Arial" w:cs="Arial"/>
          <w:sz w:val="24"/>
          <w:szCs w:val="24"/>
        </w:rPr>
        <w:t>»</w:t>
      </w:r>
      <w:r w:rsidR="006C6075">
        <w:rPr>
          <w:rFonts w:ascii="Arial" w:hAnsi="Arial" w:cs="Arial"/>
          <w:sz w:val="24"/>
          <w:szCs w:val="24"/>
        </w:rPr>
        <w:t>;</w:t>
      </w:r>
    </w:p>
    <w:p w:rsidR="006C6075" w:rsidRDefault="006C6075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075">
        <w:rPr>
          <w:rFonts w:ascii="Arial" w:hAnsi="Arial" w:cs="Arial"/>
          <w:sz w:val="24"/>
          <w:szCs w:val="24"/>
        </w:rPr>
        <w:t xml:space="preserve">ГОСТ 29318-92 (ИСО 4627-81) </w:t>
      </w:r>
      <w:r>
        <w:rPr>
          <w:rFonts w:ascii="Arial" w:hAnsi="Arial" w:cs="Arial"/>
          <w:sz w:val="24"/>
          <w:szCs w:val="24"/>
        </w:rPr>
        <w:t>«</w:t>
      </w:r>
      <w:r w:rsidRPr="006C6075">
        <w:rPr>
          <w:rFonts w:ascii="Arial" w:hAnsi="Arial" w:cs="Arial"/>
          <w:sz w:val="24"/>
          <w:szCs w:val="24"/>
        </w:rPr>
        <w:t>Материалы лакокрасочные. Оценка совместимости продукта с окрашиваемой поверхностью. Методы испытания</w:t>
      </w:r>
      <w:r>
        <w:rPr>
          <w:rFonts w:ascii="Arial" w:hAnsi="Arial" w:cs="Arial"/>
          <w:sz w:val="24"/>
          <w:szCs w:val="24"/>
        </w:rPr>
        <w:t>».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B57C70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</w:t>
      </w:r>
      <w:r w:rsidR="00B57C70">
        <w:rPr>
          <w:rFonts w:ascii="Arial" w:hAnsi="Arial" w:cs="Arial"/>
          <w:b/>
          <w:sz w:val="24"/>
          <w:szCs w:val="24"/>
        </w:rPr>
        <w:t>е межгосударственного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0A2854" w:rsidRDefault="00BD304C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</w:t>
      </w:r>
      <w:r w:rsidR="00B00006" w:rsidRPr="00B00006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BD304C">
        <w:rPr>
          <w:rFonts w:ascii="Arial" w:hAnsi="Arial" w:cs="Arial"/>
          <w:sz w:val="24"/>
          <w:szCs w:val="24"/>
        </w:rPr>
        <w:t xml:space="preserve"> </w:t>
      </w:r>
      <w:r w:rsidR="00DA6FAF" w:rsidRPr="00DA6FAF">
        <w:rPr>
          <w:rFonts w:ascii="Arial" w:hAnsi="Arial" w:cs="Arial"/>
          <w:sz w:val="24"/>
          <w:lang w:val="en-US"/>
        </w:rPr>
        <w:t>ISO</w:t>
      </w:r>
      <w:r w:rsidR="00DA6FAF" w:rsidRPr="00BD304C">
        <w:rPr>
          <w:rFonts w:ascii="Arial" w:hAnsi="Arial" w:cs="Arial"/>
          <w:sz w:val="24"/>
        </w:rPr>
        <w:t xml:space="preserve"> </w:t>
      </w:r>
      <w:r w:rsidR="006C6075" w:rsidRPr="00BD304C">
        <w:rPr>
          <w:rFonts w:ascii="Arial" w:hAnsi="Arial" w:cs="Arial"/>
          <w:sz w:val="24"/>
        </w:rPr>
        <w:t>22516</w:t>
      </w:r>
      <w:r w:rsidR="00DA6FAF" w:rsidRPr="00BD304C">
        <w:rPr>
          <w:rFonts w:ascii="Arial" w:hAnsi="Arial" w:cs="Arial"/>
          <w:sz w:val="24"/>
        </w:rPr>
        <w:t xml:space="preserve">:2019 </w:t>
      </w:r>
      <w:r w:rsidR="000A2854" w:rsidRPr="00BD304C">
        <w:rPr>
          <w:rFonts w:ascii="Arial" w:hAnsi="Arial" w:cs="Arial"/>
          <w:sz w:val="24"/>
        </w:rPr>
        <w:t xml:space="preserve">Краски и лаки. </w:t>
      </w:r>
      <w:r w:rsidR="000A2854" w:rsidRPr="00DA6FAF">
        <w:rPr>
          <w:rFonts w:ascii="Arial" w:hAnsi="Arial" w:cs="Arial"/>
          <w:sz w:val="24"/>
        </w:rPr>
        <w:t>Практическое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lastRenderedPageBreak/>
        <w:t>определение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содержания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нелетучих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и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летучих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веществ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во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время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DA6FAF">
        <w:rPr>
          <w:rFonts w:ascii="Arial" w:hAnsi="Arial" w:cs="Arial"/>
          <w:sz w:val="24"/>
        </w:rPr>
        <w:t>нанесения</w:t>
      </w:r>
      <w:r w:rsidR="000A2854" w:rsidRPr="006C6075">
        <w:rPr>
          <w:rFonts w:ascii="Arial" w:hAnsi="Arial" w:cs="Arial"/>
          <w:sz w:val="24"/>
          <w:lang w:val="en-US"/>
        </w:rPr>
        <w:t xml:space="preserve"> </w:t>
      </w:r>
      <w:r w:rsidR="00DA6FAF" w:rsidRPr="000A2854">
        <w:rPr>
          <w:rFonts w:ascii="Arial" w:hAnsi="Arial" w:cs="Arial"/>
          <w:sz w:val="24"/>
          <w:lang w:val="en-US"/>
        </w:rPr>
        <w:t>(</w:t>
      </w:r>
      <w:r w:rsidR="000A2854" w:rsidRPr="006C6075">
        <w:rPr>
          <w:rFonts w:ascii="Arial" w:hAnsi="Arial" w:cs="Arial"/>
          <w:sz w:val="24"/>
          <w:lang w:val="en-US"/>
        </w:rPr>
        <w:t>Paints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and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varnishes</w:t>
      </w:r>
      <w:r w:rsidR="000A2854" w:rsidRPr="000A2854">
        <w:rPr>
          <w:rFonts w:ascii="Arial" w:hAnsi="Arial" w:cs="Arial"/>
          <w:sz w:val="24"/>
          <w:lang w:val="en-US"/>
        </w:rPr>
        <w:t xml:space="preserve"> - </w:t>
      </w:r>
      <w:r w:rsidR="000A2854" w:rsidRPr="006C6075">
        <w:rPr>
          <w:rFonts w:ascii="Arial" w:hAnsi="Arial" w:cs="Arial"/>
          <w:sz w:val="24"/>
          <w:lang w:val="en-US"/>
        </w:rPr>
        <w:t>Practical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determination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of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non</w:t>
      </w:r>
      <w:r w:rsidR="000A2854" w:rsidRPr="000A2854">
        <w:rPr>
          <w:rFonts w:ascii="Arial" w:hAnsi="Arial" w:cs="Arial"/>
          <w:sz w:val="24"/>
          <w:lang w:val="en-US"/>
        </w:rPr>
        <w:t>-</w:t>
      </w:r>
      <w:r w:rsidR="000A2854" w:rsidRPr="006C6075">
        <w:rPr>
          <w:rFonts w:ascii="Arial" w:hAnsi="Arial" w:cs="Arial"/>
          <w:sz w:val="24"/>
          <w:lang w:val="en-US"/>
        </w:rPr>
        <w:t>volatile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and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volatile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matter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content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during</w:t>
      </w:r>
      <w:r w:rsidR="000A2854" w:rsidRPr="000A2854">
        <w:rPr>
          <w:rFonts w:ascii="Arial" w:hAnsi="Arial" w:cs="Arial"/>
          <w:sz w:val="24"/>
          <w:lang w:val="en-US"/>
        </w:rPr>
        <w:t xml:space="preserve"> </w:t>
      </w:r>
      <w:r w:rsidR="000A2854" w:rsidRPr="006C6075">
        <w:rPr>
          <w:rFonts w:ascii="Arial" w:hAnsi="Arial" w:cs="Arial"/>
          <w:sz w:val="24"/>
          <w:lang w:val="en-US"/>
        </w:rPr>
        <w:t>application</w:t>
      </w:r>
      <w:r w:rsidR="00DA6FAF" w:rsidRPr="000A2854">
        <w:rPr>
          <w:rFonts w:ascii="Arial" w:hAnsi="Arial" w:cs="Arial"/>
          <w:sz w:val="24"/>
          <w:lang w:val="en-US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B57C70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9920EA" w:rsidRPr="00856AC5" w:rsidRDefault="009920EA" w:rsidP="009920E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9920EA" w:rsidRPr="00856AC5" w:rsidRDefault="009920EA" w:rsidP="009920E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9920EA" w:rsidRPr="00856AC5" w:rsidRDefault="009920EA" w:rsidP="009920E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BF2CF1" w:rsidRPr="009920EA" w:rsidRDefault="009920EA" w:rsidP="009920EA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</w:p>
    <w:p w:rsidR="000A2854" w:rsidRPr="009920EA" w:rsidRDefault="000A2854" w:rsidP="000A2854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9920EA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F2C" w:rsidRDefault="00A44F2C" w:rsidP="00214412">
      <w:pPr>
        <w:spacing w:after="0" w:line="240" w:lineRule="auto"/>
      </w:pPr>
      <w:r>
        <w:separator/>
      </w:r>
    </w:p>
  </w:endnote>
  <w:endnote w:type="continuationSeparator" w:id="0">
    <w:p w:rsidR="00A44F2C" w:rsidRDefault="00A44F2C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5873AA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B57C70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F2C" w:rsidRDefault="00A44F2C" w:rsidP="00214412">
      <w:pPr>
        <w:spacing w:after="0" w:line="240" w:lineRule="auto"/>
      </w:pPr>
      <w:r>
        <w:separator/>
      </w:r>
    </w:p>
  </w:footnote>
  <w:footnote w:type="continuationSeparator" w:id="0">
    <w:p w:rsidR="00A44F2C" w:rsidRDefault="00A44F2C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A2854"/>
    <w:rsid w:val="000B7592"/>
    <w:rsid w:val="000D034B"/>
    <w:rsid w:val="001117AE"/>
    <w:rsid w:val="00166EEC"/>
    <w:rsid w:val="001D2D14"/>
    <w:rsid w:val="00214412"/>
    <w:rsid w:val="00242FF7"/>
    <w:rsid w:val="002A09CA"/>
    <w:rsid w:val="002A508D"/>
    <w:rsid w:val="002B68B6"/>
    <w:rsid w:val="002D418C"/>
    <w:rsid w:val="003D08DD"/>
    <w:rsid w:val="005873AA"/>
    <w:rsid w:val="006C6075"/>
    <w:rsid w:val="00745711"/>
    <w:rsid w:val="007A716D"/>
    <w:rsid w:val="008610CE"/>
    <w:rsid w:val="008E33D7"/>
    <w:rsid w:val="008F1924"/>
    <w:rsid w:val="009920EA"/>
    <w:rsid w:val="009A3C4D"/>
    <w:rsid w:val="009D1DA2"/>
    <w:rsid w:val="00A44F2C"/>
    <w:rsid w:val="00AE4EF9"/>
    <w:rsid w:val="00B00006"/>
    <w:rsid w:val="00B52659"/>
    <w:rsid w:val="00B57C70"/>
    <w:rsid w:val="00B75E34"/>
    <w:rsid w:val="00BB6FC6"/>
    <w:rsid w:val="00BD304C"/>
    <w:rsid w:val="00BD661C"/>
    <w:rsid w:val="00BF2CF1"/>
    <w:rsid w:val="00C60D76"/>
    <w:rsid w:val="00CD13F0"/>
    <w:rsid w:val="00CD7AF6"/>
    <w:rsid w:val="00D869A5"/>
    <w:rsid w:val="00D92DC5"/>
    <w:rsid w:val="00DA6FAF"/>
    <w:rsid w:val="00E76A0E"/>
    <w:rsid w:val="00EC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70791-96CF-4A9F-B1B7-7C0FD5F2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19</cp:revision>
  <dcterms:created xsi:type="dcterms:W3CDTF">2020-02-20T06:19:00Z</dcterms:created>
  <dcterms:modified xsi:type="dcterms:W3CDTF">2020-03-19T06:44:00Z</dcterms:modified>
</cp:coreProperties>
</file>